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24"/>
          <w:szCs w:val="24"/>
          <w:highlight w:val="white"/>
          <w:rtl w:val="0"/>
        </w:rPr>
        <w:t xml:space="preserve">​Email Subject:</w:t>
      </w:r>
      <w:r w:rsidDel="00000000" w:rsidR="00000000" w:rsidRPr="00000000">
        <w:rPr>
          <w:color w:val="222222"/>
          <w:sz w:val="24"/>
          <w:szCs w:val="24"/>
          <w:highlight w:val="white"/>
          <w:rtl w:val="0"/>
        </w:rPr>
        <w:t xml:space="preserve"> Per comunicato immediato - Comunicato stampa di Wegaw sull'ultimo progetto con Enel ed ESA</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b w:val="1"/>
          <w:color w:val="222222"/>
          <w:sz w:val="24"/>
          <w:szCs w:val="24"/>
          <w:highlight w:val="white"/>
        </w:rPr>
      </w:pPr>
      <w:r w:rsidDel="00000000" w:rsidR="00000000" w:rsidRPr="00000000">
        <w:rPr>
          <w:b w:val="1"/>
          <w:color w:val="222222"/>
          <w:sz w:val="24"/>
          <w:szCs w:val="24"/>
          <w:highlight w:val="white"/>
          <w:rtl w:val="0"/>
        </w:rPr>
        <w:t xml:space="preserve">Email message:</w:t>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Saluti,</w:t>
      </w:r>
    </w:p>
    <w:p w:rsidR="00000000" w:rsidDel="00000000" w:rsidP="00000000" w:rsidRDefault="00000000" w:rsidRPr="00000000" w14:paraId="0000000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0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in collaborazione con Enel e l'Agenzia Spaziale Europea, sono molto orgoglioso di condividere l'annuncio dell'ultimo progetto di Wegaw, la società che si occupa di tecnologia del clima:</w:t>
      </w:r>
    </w:p>
    <w:p w:rsidR="00000000" w:rsidDel="00000000" w:rsidP="00000000" w:rsidRDefault="00000000" w:rsidRPr="00000000" w14:paraId="00000008">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9">
      <w:pPr>
        <w:shd w:fill="ffffff" w:val="clear"/>
        <w:spacing w:line="463.2" w:lineRule="auto"/>
        <w:rPr>
          <w:b w:val="1"/>
          <w:color w:val="102d7b"/>
          <w:sz w:val="28"/>
          <w:szCs w:val="28"/>
          <w:highlight w:val="white"/>
        </w:rPr>
      </w:pPr>
      <w:r w:rsidDel="00000000" w:rsidR="00000000" w:rsidRPr="00000000">
        <w:rPr>
          <w:b w:val="1"/>
          <w:color w:val="102d7b"/>
          <w:sz w:val="28"/>
          <w:szCs w:val="28"/>
          <w:highlight w:val="white"/>
          <w:rtl w:val="0"/>
        </w:rPr>
        <w:t xml:space="preserve">Enel ed ESA lanciano un nuovo studio di fattibilità di Snow Water Equivalent in Italia con la soluzione di monitoraggio satellitare della neve di Wegaw</w:t>
      </w:r>
    </w:p>
    <w:p w:rsidR="00000000" w:rsidDel="00000000" w:rsidP="00000000" w:rsidRDefault="00000000" w:rsidRPr="00000000" w14:paraId="0000000A">
      <w:pPr>
        <w:shd w:fill="ffffff" w:val="clear"/>
        <w:spacing w:line="350" w:lineRule="auto"/>
        <w:rPr>
          <w:color w:val="444444"/>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La start-up svizzera/spagnola Wegaw, pioniera nel settore delle tecnologie climatiche, si è aggiudicata l'opportunità di realizzare uno studio di fattibilità tecnica sui valori dell'acqua di neve equivalente, a supporto di una soluzione scalabile di nowcasting e di previsione della produzione di energia per un gruppo di centrali idroelettriche dell'Italia settentrionale.</w:t>
      </w:r>
    </w:p>
    <w:p w:rsidR="00000000" w:rsidDel="00000000" w:rsidP="00000000" w:rsidRDefault="00000000" w:rsidRPr="00000000" w14:paraId="0000000C">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0D">
      <w:pPr>
        <w:shd w:fill="ffffff" w:val="clear"/>
        <w:spacing w:line="350" w:lineRule="auto"/>
        <w:rPr>
          <w:i w:val="1"/>
          <w:color w:val="444444"/>
          <w:sz w:val="24"/>
          <w:szCs w:val="24"/>
          <w:highlight w:val="white"/>
        </w:rPr>
      </w:pPr>
      <w:r w:rsidDel="00000000" w:rsidR="00000000" w:rsidRPr="00000000">
        <w:rPr>
          <w:i w:val="1"/>
          <w:color w:val="444444"/>
          <w:sz w:val="24"/>
          <w:szCs w:val="24"/>
          <w:highlight w:val="white"/>
          <w:rtl w:val="0"/>
        </w:rPr>
        <w:t xml:space="preserve">     “I nostri progetti internazionali innovativi e le nostre missioni satellitari favoriscono lo sviluppo progressivo dell'industria dell'energia idroelettrica non inquinante e siamo molto lieti di collaborare nuovamente con Wegaw per scoprire ulteriori opportunità di miglioramento che possano favorire le esigenze energetiche, colmando al contempo il divario dalla dipendenza dai combustibili fossili.”</w:t>
      </w:r>
    </w:p>
    <w:p w:rsidR="00000000" w:rsidDel="00000000" w:rsidP="00000000" w:rsidRDefault="00000000" w:rsidRPr="00000000" w14:paraId="0000000E">
      <w:pPr>
        <w:shd w:fill="ffffff" w:val="clear"/>
        <w:spacing w:line="350" w:lineRule="auto"/>
        <w:rPr>
          <w:color w:val="444444"/>
          <w:sz w:val="24"/>
          <w:szCs w:val="24"/>
          <w:highlight w:val="white"/>
        </w:rPr>
      </w:pPr>
      <w:r w:rsidDel="00000000" w:rsidR="00000000" w:rsidRPr="00000000">
        <w:rPr>
          <w:b w:val="1"/>
          <w:color w:val="444444"/>
          <w:sz w:val="24"/>
          <w:szCs w:val="24"/>
          <w:highlight w:val="white"/>
          <w:rtl w:val="0"/>
        </w:rPr>
        <w:t xml:space="preserve">Davide Coppola - Head of Space Applications Initiatives</w:t>
      </w:r>
      <w:r w:rsidDel="00000000" w:rsidR="00000000" w:rsidRPr="00000000">
        <w:rPr>
          <w:color w:val="444444"/>
          <w:sz w:val="24"/>
          <w:szCs w:val="24"/>
          <w:highlight w:val="white"/>
          <w:rtl w:val="0"/>
        </w:rPr>
        <w:t xml:space="preserve"> - ESA Space Solutions, European Space Agency</w:t>
      </w:r>
    </w:p>
    <w:p w:rsidR="00000000" w:rsidDel="00000000" w:rsidP="00000000" w:rsidRDefault="00000000" w:rsidRPr="00000000" w14:paraId="0000000F">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10">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L'obiettivo principale di questo lavoro è quello di supportare Enel nel migliorare ulteriormente la comprensione della dinamica della neve per ottimizzare il sistema idroelettrico nel nord Italia.</w:t>
      </w:r>
    </w:p>
    <w:p w:rsidR="00000000" w:rsidDel="00000000" w:rsidP="00000000" w:rsidRDefault="00000000" w:rsidRPr="00000000" w14:paraId="00000011">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12">
      <w:pPr>
        <w:shd w:fill="ffffff" w:val="clear"/>
        <w:spacing w:line="350" w:lineRule="auto"/>
        <w:rPr>
          <w:i w:val="1"/>
          <w:color w:val="444444"/>
          <w:sz w:val="24"/>
          <w:szCs w:val="24"/>
          <w:highlight w:val="white"/>
        </w:rPr>
      </w:pPr>
      <w:r w:rsidDel="00000000" w:rsidR="00000000" w:rsidRPr="00000000">
        <w:rPr>
          <w:i w:val="1"/>
          <w:color w:val="444444"/>
          <w:sz w:val="24"/>
          <w:szCs w:val="24"/>
          <w:highlight w:val="white"/>
          <w:rtl w:val="0"/>
        </w:rPr>
        <w:t xml:space="preserve">     “Il nostro team è molto orgoglioso di lavorare con Wegaw e l'ESA sull'ottimizzazione della transizione energetica dell'energia idroelettrica e non vediamo l'ora di vedere presto i risultati della nostra collaborazione.”</w:t>
      </w:r>
    </w:p>
    <w:p w:rsidR="00000000" w:rsidDel="00000000" w:rsidP="00000000" w:rsidRDefault="00000000" w:rsidRPr="00000000" w14:paraId="00000013">
      <w:pPr>
        <w:shd w:fill="ffffff" w:val="clear"/>
        <w:spacing w:line="350" w:lineRule="auto"/>
        <w:rPr>
          <w:color w:val="444444"/>
          <w:sz w:val="24"/>
          <w:szCs w:val="24"/>
          <w:highlight w:val="white"/>
        </w:rPr>
      </w:pPr>
      <w:r w:rsidDel="00000000" w:rsidR="00000000" w:rsidRPr="00000000">
        <w:rPr>
          <w:b w:val="1"/>
          <w:color w:val="444444"/>
          <w:sz w:val="24"/>
          <w:szCs w:val="24"/>
          <w:highlight w:val="white"/>
          <w:rtl w:val="0"/>
        </w:rPr>
        <w:t xml:space="preserve">Marco Favarato - Head of Enel Innovability® Global Energy and Commodity management</w:t>
      </w:r>
      <w:r w:rsidDel="00000000" w:rsidR="00000000" w:rsidRPr="00000000">
        <w:rPr>
          <w:color w:val="444444"/>
          <w:sz w:val="24"/>
          <w:szCs w:val="24"/>
          <w:highlight w:val="white"/>
          <w:rtl w:val="0"/>
        </w:rPr>
        <w:t xml:space="preserve"> - Enel</w:t>
      </w:r>
    </w:p>
    <w:p w:rsidR="00000000" w:rsidDel="00000000" w:rsidP="00000000" w:rsidRDefault="00000000" w:rsidRPr="00000000" w14:paraId="00000014">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15">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Il team di Wegaw offre una soluzione economicamente vantaggiosa che consente alle aziende idroelettriche di disporre di informazioni preziose, grazie alle quali ridurre ulteriormente gli errori di deflusso e, di conseguenza, gli errori di previsione dell'afflusso d'acqua, che porterebbero a maggiori opportunità di sostenibilità e alla generazione di entrate aggiuntive per centrale elettrica ogni anno.</w:t>
      </w:r>
    </w:p>
    <w:p w:rsidR="00000000" w:rsidDel="00000000" w:rsidP="00000000" w:rsidRDefault="00000000" w:rsidRPr="00000000" w14:paraId="00000016">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17">
      <w:pPr>
        <w:shd w:fill="ffffff" w:val="clear"/>
        <w:spacing w:line="350" w:lineRule="auto"/>
        <w:rPr>
          <w:i w:val="1"/>
          <w:color w:val="444444"/>
          <w:sz w:val="24"/>
          <w:szCs w:val="24"/>
          <w:highlight w:val="white"/>
        </w:rPr>
      </w:pPr>
      <w:r w:rsidDel="00000000" w:rsidR="00000000" w:rsidRPr="00000000">
        <w:rPr>
          <w:i w:val="1"/>
          <w:color w:val="444444"/>
          <w:sz w:val="24"/>
          <w:szCs w:val="24"/>
          <w:highlight w:val="white"/>
          <w:rtl w:val="0"/>
        </w:rPr>
        <w:t xml:space="preserve">     “L'industria energetica sta esplorando in modo proattivo i modi per bilanciare la volatilità dei prezzi e della generazione di energia, determinata principalmente dall'incertezza della produzione di energia rinnovabile. Grazie alle nostre capacità di osservazione dettagliata, a distanza e quasi in tempo reale, possiamo contribuire a ottimizzare la produzione di energia e il commercio di elettricità. Questo progetto, in particolare, ci permette di fare passi da gigante nelle Alpi europee e di migliorare la nostra validità all'interno della regione.”</w:t>
      </w:r>
    </w:p>
    <w:p w:rsidR="00000000" w:rsidDel="00000000" w:rsidP="00000000" w:rsidRDefault="00000000" w:rsidRPr="00000000" w14:paraId="00000018">
      <w:pPr>
        <w:shd w:fill="ffffff" w:val="clear"/>
        <w:spacing w:line="350" w:lineRule="auto"/>
        <w:rPr>
          <w:color w:val="444444"/>
          <w:sz w:val="24"/>
          <w:szCs w:val="24"/>
          <w:highlight w:val="white"/>
        </w:rPr>
      </w:pPr>
      <w:r w:rsidDel="00000000" w:rsidR="00000000" w:rsidRPr="00000000">
        <w:rPr>
          <w:b w:val="1"/>
          <w:color w:val="444444"/>
          <w:sz w:val="24"/>
          <w:szCs w:val="24"/>
          <w:highlight w:val="white"/>
          <w:rtl w:val="0"/>
        </w:rPr>
        <w:t xml:space="preserve">Daria Lüdtke - CTO</w:t>
      </w:r>
      <w:r w:rsidDel="00000000" w:rsidR="00000000" w:rsidRPr="00000000">
        <w:rPr>
          <w:color w:val="444444"/>
          <w:sz w:val="24"/>
          <w:szCs w:val="24"/>
          <w:highlight w:val="white"/>
          <w:rtl w:val="0"/>
        </w:rPr>
        <w:t xml:space="preserve"> - Wegaw</w:t>
      </w:r>
    </w:p>
    <w:p w:rsidR="00000000" w:rsidDel="00000000" w:rsidP="00000000" w:rsidRDefault="00000000" w:rsidRPr="00000000" w14:paraId="00000019">
      <w:pPr>
        <w:shd w:fill="ffffff" w:val="clear"/>
        <w:spacing w:line="360" w:lineRule="auto"/>
        <w:rPr>
          <w:color w:val="23496d"/>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1B">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C">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Per saperne di più, utilizzare i link per il download:</w:t>
      </w:r>
    </w:p>
    <w:p w:rsidR="00000000" w:rsidDel="00000000" w:rsidP="00000000" w:rsidRDefault="00000000" w:rsidRPr="00000000" w14:paraId="0000001D">
      <w:pPr>
        <w:numPr>
          <w:ilvl w:val="0"/>
          <w:numId w:val="1"/>
        </w:numPr>
        <w:spacing w:after="0" w:afterAutospacing="0" w:before="220" w:line="360" w:lineRule="auto"/>
        <w:ind w:left="720" w:hanging="360"/>
        <w:rPr>
          <w:rFonts w:ascii="Arial" w:cs="Arial" w:eastAsia="Arial" w:hAnsi="Arial"/>
          <w:sz w:val="24"/>
          <w:szCs w:val="24"/>
        </w:rPr>
      </w:pPr>
      <w:r w:rsidDel="00000000" w:rsidR="00000000" w:rsidRPr="00000000">
        <w:rPr>
          <w:color w:val="444444"/>
          <w:sz w:val="24"/>
          <w:szCs w:val="24"/>
          <w:highlight w:val="white"/>
          <w:rtl w:val="0"/>
        </w:rPr>
        <w:t xml:space="preserve">Il comunicato stampa completo</w:t>
        <w:br w:type="textWrapping"/>
        <w:t xml:space="preserve">- in formato </w:t>
      </w:r>
      <w:hyperlink r:id="rId6">
        <w:r w:rsidDel="00000000" w:rsidR="00000000" w:rsidRPr="00000000">
          <w:rPr>
            <w:color w:val="3574e3"/>
            <w:sz w:val="24"/>
            <w:szCs w:val="24"/>
            <w:highlight w:val="white"/>
            <w:u w:val="single"/>
            <w:rtl w:val="0"/>
          </w:rPr>
          <w:t xml:space="preserve">PDF</w:t>
          <w:br w:type="textWrapping"/>
        </w:r>
      </w:hyperlink>
      <w:r w:rsidDel="00000000" w:rsidR="00000000" w:rsidRPr="00000000">
        <w:rPr>
          <w:color w:val="444444"/>
          <w:sz w:val="24"/>
          <w:szCs w:val="24"/>
          <w:highlight w:val="white"/>
          <w:rtl w:val="0"/>
        </w:rPr>
        <w:t xml:space="preserve">- in formato </w:t>
      </w:r>
      <w:hyperlink r:id="rId7">
        <w:r w:rsidDel="00000000" w:rsidR="00000000" w:rsidRPr="00000000">
          <w:rPr>
            <w:color w:val="3574e3"/>
            <w:sz w:val="24"/>
            <w:szCs w:val="24"/>
            <w:highlight w:val="white"/>
            <w:u w:val="single"/>
            <w:rtl w:val="0"/>
          </w:rPr>
          <w:t xml:space="preserve">documento Word</w:t>
        </w:r>
      </w:hyperlink>
      <w:r w:rsidDel="00000000" w:rsidR="00000000" w:rsidRPr="00000000">
        <w:rPr>
          <w:rtl w:val="0"/>
        </w:rPr>
      </w:r>
    </w:p>
    <w:p w:rsidR="00000000" w:rsidDel="00000000" w:rsidP="00000000" w:rsidRDefault="00000000" w:rsidRPr="00000000" w14:paraId="0000001E">
      <w:pPr>
        <w:numPr>
          <w:ilvl w:val="0"/>
          <w:numId w:val="1"/>
        </w:numPr>
        <w:spacing w:after="220" w:before="0" w:beforeAutospacing="0" w:line="360" w:lineRule="auto"/>
        <w:ind w:left="720" w:hanging="360"/>
        <w:rPr>
          <w:rFonts w:ascii="Arial" w:cs="Arial" w:eastAsia="Arial" w:hAnsi="Arial"/>
          <w:sz w:val="24"/>
          <w:szCs w:val="24"/>
        </w:rPr>
      </w:pPr>
      <w:hyperlink r:id="rId8">
        <w:r w:rsidDel="00000000" w:rsidR="00000000" w:rsidRPr="00000000">
          <w:rPr>
            <w:color w:val="3574e3"/>
            <w:sz w:val="24"/>
            <w:szCs w:val="24"/>
            <w:highlight w:val="white"/>
            <w:u w:val="single"/>
            <w:rtl w:val="0"/>
          </w:rPr>
          <w:t xml:space="preserve">Immagini di accompagnamento</w:t>
        </w:r>
      </w:hyperlink>
      <w:r w:rsidDel="00000000" w:rsidR="00000000" w:rsidRPr="00000000">
        <w:rPr>
          <w:color w:val="444444"/>
          <w:sz w:val="24"/>
          <w:szCs w:val="24"/>
          <w:highlight w:val="white"/>
          <w:rtl w:val="0"/>
        </w:rPr>
        <w:t xml:space="preserve"> (cartella zip)</w:t>
      </w:r>
    </w:p>
    <w:p w:rsidR="00000000" w:rsidDel="00000000" w:rsidP="00000000" w:rsidRDefault="00000000" w:rsidRPr="00000000" w14:paraId="0000001F">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2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2">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Potreste condividere questa notizia con i vostri lettori, follower e abbonati?</w:t>
      </w:r>
    </w:p>
    <w:p w:rsidR="00000000" w:rsidDel="00000000" w:rsidP="00000000" w:rsidRDefault="00000000" w:rsidRPr="00000000" w14:paraId="00000023">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4">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Se avete domande o bisogno di qualsiasi altra cosa, contattatemi direttamente tramite i seguenti dati. </w:t>
      </w:r>
    </w:p>
    <w:p w:rsidR="00000000" w:rsidDel="00000000" w:rsidP="00000000" w:rsidRDefault="00000000" w:rsidRPr="00000000" w14:paraId="00000025">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Grazie mille per il vostro tempo e la vostra considerazione.</w:t>
      </w:r>
    </w:p>
    <w:p w:rsidR="00000000" w:rsidDel="00000000" w:rsidP="00000000" w:rsidRDefault="00000000" w:rsidRPr="00000000" w14:paraId="00000027">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8">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Cordiali saluti,</w:t>
      </w:r>
    </w:p>
    <w:p w:rsidR="00000000" w:rsidDel="00000000" w:rsidP="00000000" w:rsidRDefault="00000000" w:rsidRPr="00000000" w14:paraId="00000029">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A">
      <w:pPr>
        <w:rPr>
          <w:color w:val="222222"/>
          <w:sz w:val="24"/>
          <w:szCs w:val="24"/>
          <w:highlight w:val="white"/>
        </w:rPr>
      </w:pPr>
      <w:r w:rsidDel="00000000" w:rsidR="00000000" w:rsidRPr="00000000">
        <w:rPr>
          <w:color w:val="444444"/>
          <w:sz w:val="24"/>
          <w:szCs w:val="24"/>
          <w:highlight w:val="white"/>
          <w:rtl w:val="0"/>
        </w:rPr>
        <w:t xml:space="preserve">INSERT SIGNATURE</w:t>
      </w:r>
      <w:r w:rsidDel="00000000" w:rsidR="00000000" w:rsidRPr="00000000">
        <w:rPr>
          <w:rtl w:val="0"/>
        </w:rPr>
      </w:r>
    </w:p>
    <w:tbl>
      <w:tblPr>
        <w:tblStyle w:val="Table1"/>
        <w:tblW w:w="10771.65354330708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71.653543307086"/>
        <w:tblGridChange w:id="0">
          <w:tblGrid>
            <w:gridCol w:w="10771.653543307086"/>
          </w:tblGrid>
        </w:tblGridChange>
      </w:tblGrid>
      <w:tr>
        <w:trPr>
          <w:cantSplit w:val="0"/>
          <w:trHeight w:val="177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100.0" w:type="dxa"/>
              <w:right w:w="100.0" w:type="dxa"/>
            </w:tcMar>
            <w:vAlign w:val="top"/>
          </w:tcPr>
          <w:p w:rsidR="00000000" w:rsidDel="00000000" w:rsidP="00000000" w:rsidRDefault="00000000" w:rsidRPr="00000000" w14:paraId="0000002B">
            <w:pPr>
              <w:rPr>
                <w:color w:val="23496d"/>
                <w:sz w:val="24"/>
                <w:szCs w:val="24"/>
                <w:highlight w:val="white"/>
              </w:rPr>
            </w:pPr>
            <w:r w:rsidDel="00000000" w:rsidR="00000000" w:rsidRPr="00000000">
              <w:rPr>
                <w:rtl w:val="0"/>
              </w:rPr>
            </w:r>
          </w:p>
        </w:tc>
      </w:tr>
    </w:tbl>
    <w:p w:rsidR="00000000" w:rsidDel="00000000" w:rsidP="00000000" w:rsidRDefault="00000000" w:rsidRPr="00000000" w14:paraId="0000002C">
      <w:pPr>
        <w:rPr>
          <w:color w:val="222222"/>
          <w:sz w:val="24"/>
          <w:szCs w:val="24"/>
          <w:highlight w:val="white"/>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3496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p-content/uploads/2022/08/Italiano-ESA_ENEL_Wegaw_PR-Comunicato-stampa-di-Wegaw-sullultimo-progetto-con-Enel-ed-ESA-15.08.2022.docx-1.pdf?utm_source=hs_email&amp;utm_medium=email&amp;_hsenc=p2ANqtz-8hezLvsNJIu1xdPVsF4wlu6Aj1YYad8xmEBu39RBwlQpIF4xgeUTd5W2k32l2a3uCg5u6p" TargetMode="External"/><Relationship Id="rId7" Type="http://schemas.openxmlformats.org/officeDocument/2006/relationships/hyperlink" Target="https://wegaw.com/wp-content/uploads/2022/08/Italiano-ESA_ENEL_Wegaw_PR-Comunicato-stampa-di-Wegaw-sullultimo-progetto-con-Enel-ed-ESA-15.08.2022.docx?utm_source=hs_email&amp;utm_medium=email&amp;_hsenc=p2ANqtz-8hezLvsNJIu1xdPVsF4wlu6Aj1YYad8xmEBu39RBwlQpIF4xgeUTd5W2k32l2a3uCg5u6p" TargetMode="External"/><Relationship Id="rId8" Type="http://schemas.openxmlformats.org/officeDocument/2006/relationships/hyperlink" Target="https://wegaw.com/wp-content/uploads/2022/08/Images-Wegaw-Space-for-Hydro-Energy-Sector-16.08.2022.zip?utm_source=hs_email&amp;utm_medium=email&amp;_hsenc=p2ANqtz-8hezLvsNJIu1xdPVsF4wlu6Aj1YYad8xmEBu39RBwlQpIF4xgeUTd5W2k32l2a3uCg5u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