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firstLine="720"/>
        <w:rPr>
          <w:b w:val="1"/>
          <w:color w:val="081494"/>
          <w:sz w:val="28"/>
          <w:szCs w:val="28"/>
        </w:rPr>
      </w:pPr>
      <w:bookmarkStart w:colFirst="0" w:colLast="0" w:name="_heading=h.6a39vak76prg" w:id="0"/>
      <w:bookmarkEnd w:id="0"/>
      <w:r w:rsidDel="00000000" w:rsidR="00000000" w:rsidRPr="00000000">
        <w:rPr>
          <w:b w:val="1"/>
          <w:color w:val="081494"/>
          <w:sz w:val="48"/>
          <w:szCs w:val="48"/>
          <w:rtl w:val="0"/>
        </w:rPr>
        <w:t xml:space="preserve">Ventajas probadas para el trading de energía hidroeléctrica a largo plazo mediante la integración de datos de nieve obtenidos por satélite</w:t>
      </w:r>
      <w:r w:rsidDel="00000000" w:rsidR="00000000" w:rsidRPr="00000000">
        <w:rPr>
          <w:rtl w:val="0"/>
        </w:rPr>
      </w:r>
    </w:p>
    <w:p w:rsidR="00000000" w:rsidDel="00000000" w:rsidP="00000000" w:rsidRDefault="00000000" w:rsidRPr="00000000" w14:paraId="00000002">
      <w:pPr>
        <w:spacing w:line="360" w:lineRule="auto"/>
        <w:rPr>
          <w:color w:val="4554f5"/>
          <w:sz w:val="16"/>
          <w:szCs w:val="16"/>
        </w:rPr>
      </w:pPr>
      <w:r w:rsidDel="00000000" w:rsidR="00000000" w:rsidRPr="00000000">
        <w:rPr>
          <w:rtl w:val="0"/>
        </w:rPr>
      </w:r>
    </w:p>
    <w:p w:rsidR="00000000" w:rsidDel="00000000" w:rsidP="00000000" w:rsidRDefault="00000000" w:rsidRPr="00000000" w14:paraId="00000003">
      <w:pPr>
        <w:spacing w:line="360" w:lineRule="auto"/>
        <w:rPr>
          <w:color w:val="4554f5"/>
          <w:sz w:val="28"/>
          <w:szCs w:val="28"/>
        </w:rPr>
      </w:pPr>
      <w:r w:rsidDel="00000000" w:rsidR="00000000" w:rsidRPr="00000000">
        <w:rPr>
          <w:color w:val="4554f5"/>
          <w:sz w:val="28"/>
          <w:szCs w:val="28"/>
          <w:rtl w:val="0"/>
        </w:rPr>
        <w:t xml:space="preserve">Los científicos y pioneros de la industria del proyecto DeFROST4Hydropower demuestran con éxito que la combinación de datos geoespaciales en tiempo casi real fusionados con IA y modelos hidrológicos a largo plazo puede producir previsiones estacionales de gran precisión.</w:t>
      </w:r>
    </w:p>
    <w:p w:rsidR="00000000" w:rsidDel="00000000" w:rsidP="00000000" w:rsidRDefault="00000000" w:rsidRPr="00000000" w14:paraId="00000004">
      <w:pPr>
        <w:spacing w:line="360" w:lineRule="auto"/>
        <w:rPr>
          <w:color w:val="404040"/>
        </w:rPr>
      </w:pPr>
      <w:r w:rsidDel="00000000" w:rsidR="00000000" w:rsidRPr="00000000">
        <w:rPr>
          <w:rtl w:val="0"/>
        </w:rPr>
      </w:r>
    </w:p>
    <w:p w:rsidR="00000000" w:rsidDel="00000000" w:rsidP="00000000" w:rsidRDefault="00000000" w:rsidRPr="00000000" w14:paraId="00000005">
      <w:pPr>
        <w:spacing w:line="360" w:lineRule="auto"/>
        <w:rPr>
          <w:color w:val="404040"/>
          <w:shd w:fill="fff2cc" w:val="clear"/>
        </w:rPr>
      </w:pPr>
      <w:r w:rsidDel="00000000" w:rsidR="00000000" w:rsidRPr="00000000">
        <w:rPr>
          <w:color w:val="404040"/>
          <w:rtl w:val="0"/>
        </w:rPr>
        <w:t xml:space="preserve">Con el apoyo de la Oficina Federal Suiza de Energía (OFSE), se elaboraron previsiones estacionales para 12 cuencas hidrográficas diferentes, lo que permitió evaluar una amplia gama de regímenes hidrológicos con tecnología de vanguardia. Tras un exitoso proceso de calibración, los datos se validaron a partir de los datos de </w:t>
      </w:r>
      <w:hyperlink r:id="rId7">
        <w:r w:rsidDel="00000000" w:rsidR="00000000" w:rsidRPr="00000000">
          <w:rPr>
            <w:color w:val="1155cc"/>
            <w:u w:val="single"/>
            <w:rtl w:val="0"/>
          </w:rPr>
          <w:t xml:space="preserve">altura de la nieve (HS)</w:t>
        </w:r>
      </w:hyperlink>
      <w:r w:rsidDel="00000000" w:rsidR="00000000" w:rsidRPr="00000000">
        <w:rPr>
          <w:color w:val="404040"/>
          <w:rtl w:val="0"/>
        </w:rPr>
        <w:t xml:space="preserve"> con fotogrametría Ultracam, recogidos por el Instituto de Investigación de Nieve y Avalanchas (SLF) durante cuatro vuelos de drones. </w:t>
      </w:r>
      <w:r w:rsidDel="00000000" w:rsidR="00000000" w:rsidRPr="00000000">
        <w:rPr>
          <w:rtl w:val="0"/>
        </w:rPr>
      </w:r>
    </w:p>
    <w:p w:rsidR="00000000" w:rsidDel="00000000" w:rsidP="00000000" w:rsidRDefault="00000000" w:rsidRPr="00000000" w14:paraId="00000006">
      <w:pPr>
        <w:spacing w:line="360" w:lineRule="auto"/>
        <w:rPr>
          <w:color w:val="404040"/>
          <w:shd w:fill="fff2cc" w:val="clear"/>
        </w:rPr>
      </w:pPr>
      <w:r w:rsidDel="00000000" w:rsidR="00000000" w:rsidRPr="00000000">
        <w:rPr>
          <w:rtl w:val="0"/>
        </w:rPr>
      </w:r>
    </w:p>
    <w:p w:rsidR="00000000" w:rsidDel="00000000" w:rsidP="00000000" w:rsidRDefault="00000000" w:rsidRPr="00000000" w14:paraId="00000007">
      <w:pPr>
        <w:spacing w:line="360" w:lineRule="auto"/>
        <w:rPr>
          <w:color w:val="404040"/>
        </w:rPr>
      </w:pPr>
      <w:r w:rsidDel="00000000" w:rsidR="00000000" w:rsidRPr="00000000">
        <w:rPr>
          <w:color w:val="404040"/>
          <w:rtl w:val="0"/>
        </w:rPr>
        <w:t xml:space="preserve">Los datos geoespaciales consistentes en la extensión de la </w:t>
      </w:r>
      <w:hyperlink r:id="rId8">
        <w:r w:rsidDel="00000000" w:rsidR="00000000" w:rsidRPr="00000000">
          <w:rPr>
            <w:color w:val="1155cc"/>
            <w:u w:val="single"/>
            <w:rtl w:val="0"/>
          </w:rPr>
          <w:t xml:space="preserve">capa de nieve (SCE)</w:t>
        </w:r>
      </w:hyperlink>
      <w:r w:rsidDel="00000000" w:rsidR="00000000" w:rsidRPr="00000000">
        <w:rPr>
          <w:color w:val="404040"/>
          <w:rtl w:val="0"/>
        </w:rPr>
        <w:t xml:space="preserve">, la altura de la nieve (HS) y el equivalente de agua en nieve (SWE) se fusionaron con IA y luego se integraron en modelos de precipitación-escorrentía, demostrando ser especialmente eficaces para estimar con precisión el suministro de agua en primavera y verano, y dando lugar a una mejora de la previsibilidad de los aportes y a un ROI tangible para el comercio a largo plazo (desde periodos de 60, 90, 120, 150 a 180 días). </w:t>
      </w:r>
    </w:p>
    <w:p w:rsidR="00000000" w:rsidDel="00000000" w:rsidP="00000000" w:rsidRDefault="00000000" w:rsidRPr="00000000" w14:paraId="00000008">
      <w:pPr>
        <w:spacing w:line="360" w:lineRule="auto"/>
        <w:rPr>
          <w:color w:val="404040"/>
          <w:sz w:val="20"/>
          <w:szCs w:val="20"/>
        </w:rPr>
      </w:pPr>
      <w:r w:rsidDel="00000000" w:rsidR="00000000" w:rsidRPr="00000000">
        <w:rPr>
          <w:color w:val="404040"/>
          <w:sz w:val="20"/>
          <w:szCs w:val="20"/>
        </w:rPr>
        <w:drawing>
          <wp:inline distB="114300" distT="114300" distL="114300" distR="114300">
            <wp:extent cx="6480000" cy="3693600"/>
            <wp:effectExtent b="0" l="0" r="0" t="0"/>
            <wp:docPr id="65"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6480000" cy="36936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pacing w:line="360" w:lineRule="auto"/>
        <w:rPr>
          <w:color w:val="404040"/>
          <w:sz w:val="16"/>
          <w:szCs w:val="16"/>
          <w:u w:val="single"/>
        </w:rPr>
      </w:pPr>
      <w:r w:rsidDel="00000000" w:rsidR="00000000" w:rsidRPr="00000000">
        <w:rPr>
          <w:color w:val="404040"/>
          <w:sz w:val="16"/>
          <w:szCs w:val="16"/>
          <w:u w:val="single"/>
          <w:rtl w:val="0"/>
        </w:rPr>
        <w:t xml:space="preserve">Un ejemplo</w:t>
      </w:r>
    </w:p>
    <w:p w:rsidR="00000000" w:rsidDel="00000000" w:rsidP="00000000" w:rsidRDefault="00000000" w:rsidRPr="00000000" w14:paraId="0000000A">
      <w:pPr>
        <w:spacing w:line="360" w:lineRule="auto"/>
        <w:rPr>
          <w:color w:val="404040"/>
          <w:sz w:val="16"/>
          <w:szCs w:val="16"/>
        </w:rPr>
      </w:pPr>
      <w:r w:rsidDel="00000000" w:rsidR="00000000" w:rsidRPr="00000000">
        <w:rPr>
          <w:color w:val="404040"/>
          <w:sz w:val="16"/>
          <w:szCs w:val="16"/>
          <w:rtl w:val="0"/>
        </w:rPr>
        <w:t xml:space="preserve">Mediante la integración de datos de nieve por satélite para la previsión y predicción estacional del suministro de agua en presas alpinas, el participante en el proyecto SIG (Services Industriels de Genève) quería gestionar mejor el suministro de electricidad renovable. </w:t>
      </w:r>
    </w:p>
    <w:p w:rsidR="00000000" w:rsidDel="00000000" w:rsidP="00000000" w:rsidRDefault="00000000" w:rsidRPr="00000000" w14:paraId="0000000B">
      <w:pPr>
        <w:spacing w:line="360" w:lineRule="auto"/>
        <w:rPr>
          <w:color w:val="404040"/>
          <w:sz w:val="16"/>
          <w:szCs w:val="16"/>
        </w:rPr>
      </w:pPr>
      <w:r w:rsidDel="00000000" w:rsidR="00000000" w:rsidRPr="00000000">
        <w:rPr>
          <w:color w:val="404040"/>
          <w:sz w:val="16"/>
          <w:szCs w:val="16"/>
          <w:rtl w:val="0"/>
        </w:rPr>
        <w:t xml:space="preserve">La visualización anterior demuestra cómo puede aplicarse una fusión de datos geoespaciales e IA para mejorar las previsiones de disponibilidad de agua a largo plazo para los activos hidroeléctricos que están sujetos a las entradas de nieve fundida de las cadenas montañosas circundantes. </w:t>
      </w:r>
    </w:p>
    <w:p w:rsidR="00000000" w:rsidDel="00000000" w:rsidP="00000000" w:rsidRDefault="00000000" w:rsidRPr="00000000" w14:paraId="0000000C">
      <w:pPr>
        <w:spacing w:line="360" w:lineRule="auto"/>
        <w:rPr>
          <w:color w:val="404040"/>
          <w:sz w:val="20"/>
          <w:szCs w:val="20"/>
        </w:rPr>
      </w:pPr>
      <w:r w:rsidDel="00000000" w:rsidR="00000000" w:rsidRPr="00000000">
        <w:rPr>
          <w:rtl w:val="0"/>
        </w:rPr>
      </w:r>
    </w:p>
    <w:p w:rsidR="00000000" w:rsidDel="00000000" w:rsidP="00000000" w:rsidRDefault="00000000" w:rsidRPr="00000000" w14:paraId="0000000D">
      <w:pPr>
        <w:spacing w:line="360" w:lineRule="auto"/>
        <w:rPr>
          <w:color w:val="404040"/>
        </w:rPr>
      </w:pPr>
      <w:r w:rsidDel="00000000" w:rsidR="00000000" w:rsidRPr="00000000">
        <w:rPr>
          <w:color w:val="404040"/>
          <w:rtl w:val="0"/>
        </w:rPr>
        <w:t xml:space="preserve">En general, los resultados del proyecto demostraron que pueden obtenerse datos específicos de SWE con una correlación realmente alta (valor R de 0,86), especialmente para cuencas de gran altitud, en comparación con los datos de validación de un sensor de alta resolución. Además, cuando se integran en la modelización de la precipitación-escorrentía, los errores de previsión pueden reducirse considerablemente, entre un 20% y un 50%, y algunas empresas de energía hidroeléctrica pudieron prever aumentos anuales de ingresos de hasta el 1,2%.</w:t>
      </w:r>
    </w:p>
    <w:p w:rsidR="00000000" w:rsidDel="00000000" w:rsidP="00000000" w:rsidRDefault="00000000" w:rsidRPr="00000000" w14:paraId="0000000E">
      <w:pPr>
        <w:spacing w:line="360" w:lineRule="auto"/>
        <w:rPr>
          <w:color w:val="404040"/>
        </w:rPr>
      </w:pPr>
      <w:r w:rsidDel="00000000" w:rsidR="00000000" w:rsidRPr="00000000">
        <w:rPr>
          <w:rtl w:val="0"/>
        </w:rPr>
      </w:r>
    </w:p>
    <w:p w:rsidR="00000000" w:rsidDel="00000000" w:rsidP="00000000" w:rsidRDefault="00000000" w:rsidRPr="00000000" w14:paraId="0000000F">
      <w:pPr>
        <w:spacing w:line="360" w:lineRule="auto"/>
        <w:rPr>
          <w:color w:val="404040"/>
        </w:rPr>
      </w:pPr>
      <w:r w:rsidDel="00000000" w:rsidR="00000000" w:rsidRPr="00000000">
        <w:rPr>
          <w:color w:val="404040"/>
        </w:rPr>
        <w:drawing>
          <wp:inline distB="114300" distT="114300" distL="114300" distR="114300">
            <wp:extent cx="6361113" cy="3319648"/>
            <wp:effectExtent b="0" l="0" r="0" t="0"/>
            <wp:docPr id="67" name="image4.jpg"/>
            <a:graphic>
              <a:graphicData uri="http://schemas.openxmlformats.org/drawingml/2006/picture">
                <pic:pic>
                  <pic:nvPicPr>
                    <pic:cNvPr id="0" name="image4.jpg"/>
                    <pic:cNvPicPr preferRelativeResize="0"/>
                  </pic:nvPicPr>
                  <pic:blipFill>
                    <a:blip r:embed="rId10"/>
                    <a:srcRect b="3611" l="0" r="0" t="3611"/>
                    <a:stretch>
                      <a:fillRect/>
                    </a:stretch>
                  </pic:blipFill>
                  <pic:spPr>
                    <a:xfrm>
                      <a:off x="0" y="0"/>
                      <a:ext cx="6361113" cy="3319648"/>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spacing w:line="360" w:lineRule="auto"/>
        <w:rPr>
          <w:color w:val="404040"/>
        </w:rPr>
      </w:pPr>
      <w:r w:rsidDel="00000000" w:rsidR="00000000" w:rsidRPr="00000000">
        <w:rPr>
          <w:rtl w:val="0"/>
        </w:rPr>
      </w:r>
    </w:p>
    <w:tbl>
      <w:tblPr>
        <w:tblStyle w:val="Table1"/>
        <w:tblW w:w="10530.0" w:type="dxa"/>
        <w:jc w:val="center"/>
        <w:tblLayout w:type="fixed"/>
        <w:tblLook w:val="0600"/>
      </w:tblPr>
      <w:tblGrid>
        <w:gridCol w:w="7980"/>
        <w:gridCol w:w="2550"/>
        <w:tblGridChange w:id="0">
          <w:tblGrid>
            <w:gridCol w:w="7980"/>
            <w:gridCol w:w="255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11">
            <w:pPr>
              <w:spacing w:line="360" w:lineRule="auto"/>
              <w:rPr>
                <w:i w:val="1"/>
                <w:color w:val="081494"/>
                <w:sz w:val="24"/>
                <w:szCs w:val="24"/>
              </w:rPr>
            </w:pPr>
            <w:r w:rsidDel="00000000" w:rsidR="00000000" w:rsidRPr="00000000">
              <w:rPr>
                <w:i w:val="1"/>
                <w:color w:val="081494"/>
                <w:sz w:val="24"/>
                <w:szCs w:val="24"/>
                <w:rtl w:val="0"/>
              </w:rPr>
              <w:t xml:space="preserve">"Descubrimos que los valores de SWE son un factor determinante para la calidad de las previsiones de afluencia estacional a largo plazo y que, además, pueden mejorar el rendimiento de las previsiones entre un 5% y un 10%, especialmente en el caso de grandes cuencas y plazos de entre 60 y 180 días."</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12">
            <w:pPr>
              <w:spacing w:line="360" w:lineRule="auto"/>
              <w:jc w:val="center"/>
              <w:rPr>
                <w:color w:val="1155cc"/>
                <w:sz w:val="16"/>
                <w:szCs w:val="16"/>
                <w:u w:val="single"/>
              </w:rPr>
            </w:pPr>
            <w:r w:rsidDel="00000000" w:rsidR="00000000" w:rsidRPr="00000000">
              <w:rPr>
                <w:color w:val="1155cc"/>
                <w:sz w:val="16"/>
                <w:szCs w:val="16"/>
                <w:u w:val="single"/>
              </w:rPr>
              <w:drawing>
                <wp:inline distB="114300" distT="114300" distL="114300" distR="114300">
                  <wp:extent cx="810000" cy="810000"/>
                  <wp:effectExtent b="0" l="0" r="0" t="0"/>
                  <wp:docPr id="66" name="image3.jpg"/>
                  <a:graphic>
                    <a:graphicData uri="http://schemas.openxmlformats.org/drawingml/2006/picture">
                      <pic:pic>
                        <pic:nvPicPr>
                          <pic:cNvPr id="0" name="image3.jpg"/>
                          <pic:cNvPicPr preferRelativeResize="0"/>
                        </pic:nvPicPr>
                        <pic:blipFill>
                          <a:blip r:embed="rId11"/>
                          <a:srcRect b="2651" l="0" r="0" t="2651"/>
                          <a:stretch>
                            <a:fillRect/>
                          </a:stretch>
                        </pic:blipFill>
                        <pic:spPr>
                          <a:xfrm>
                            <a:off x="0" y="0"/>
                            <a:ext cx="810000" cy="8100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spacing w:line="360" w:lineRule="auto"/>
              <w:jc w:val="center"/>
              <w:rPr>
                <w:b w:val="1"/>
                <w:i w:val="1"/>
                <w:color w:val="4554f5"/>
                <w:sz w:val="16"/>
                <w:szCs w:val="16"/>
              </w:rPr>
            </w:pPr>
            <w:r w:rsidDel="00000000" w:rsidR="00000000" w:rsidRPr="00000000">
              <w:rPr>
                <w:b w:val="1"/>
                <w:i w:val="1"/>
                <w:color w:val="4554f5"/>
                <w:sz w:val="16"/>
                <w:szCs w:val="16"/>
                <w:rtl w:val="0"/>
              </w:rPr>
              <w:t xml:space="preserve">Daria Lüdtke</w:t>
            </w:r>
          </w:p>
          <w:p w:rsidR="00000000" w:rsidDel="00000000" w:rsidP="00000000" w:rsidRDefault="00000000" w:rsidRPr="00000000" w14:paraId="00000014">
            <w:pPr>
              <w:spacing w:line="360" w:lineRule="auto"/>
              <w:jc w:val="center"/>
              <w:rPr>
                <w:i w:val="1"/>
                <w:sz w:val="16"/>
                <w:szCs w:val="16"/>
              </w:rPr>
            </w:pPr>
            <w:r w:rsidDel="00000000" w:rsidR="00000000" w:rsidRPr="00000000">
              <w:rPr>
                <w:i w:val="1"/>
                <w:sz w:val="16"/>
                <w:szCs w:val="16"/>
                <w:rtl w:val="0"/>
              </w:rPr>
              <w:t xml:space="preserve">CTO &amp; Geospatial Technologist</w:t>
            </w:r>
          </w:p>
          <w:p w:rsidR="00000000" w:rsidDel="00000000" w:rsidP="00000000" w:rsidRDefault="00000000" w:rsidRPr="00000000" w14:paraId="00000015">
            <w:pPr>
              <w:spacing w:line="360" w:lineRule="auto"/>
              <w:jc w:val="center"/>
              <w:rPr>
                <w:i w:val="1"/>
                <w:sz w:val="16"/>
                <w:szCs w:val="16"/>
              </w:rPr>
            </w:pPr>
            <w:r w:rsidDel="00000000" w:rsidR="00000000" w:rsidRPr="00000000">
              <w:rPr>
                <w:i w:val="1"/>
                <w:sz w:val="16"/>
                <w:szCs w:val="16"/>
              </w:rPr>
              <w:drawing>
                <wp:inline distB="114300" distT="114300" distL="114300" distR="114300">
                  <wp:extent cx="720000" cy="258015"/>
                  <wp:effectExtent b="0" l="0" r="0" t="0"/>
                  <wp:docPr id="69"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720000" cy="25801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6">
      <w:pPr>
        <w:spacing w:line="360" w:lineRule="auto"/>
        <w:rPr>
          <w:color w:val="404040"/>
        </w:rPr>
      </w:pPr>
      <w:r w:rsidDel="00000000" w:rsidR="00000000" w:rsidRPr="00000000">
        <w:rPr>
          <w:rtl w:val="0"/>
        </w:rPr>
      </w:r>
    </w:p>
    <w:p w:rsidR="00000000" w:rsidDel="00000000" w:rsidP="00000000" w:rsidRDefault="00000000" w:rsidRPr="00000000" w14:paraId="00000017">
      <w:pPr>
        <w:spacing w:line="360" w:lineRule="auto"/>
        <w:rPr>
          <w:color w:val="404040"/>
        </w:rPr>
      </w:pPr>
      <w:r w:rsidDel="00000000" w:rsidR="00000000" w:rsidRPr="00000000">
        <w:rPr>
          <w:color w:val="404040"/>
          <w:rtl w:val="0"/>
        </w:rPr>
        <w:t xml:space="preserve">Al disponer de una previsión a largo plazo lo más imparcial posible y resistente a las anomalías climáticas, las empresas pueden evitar las situaciones volátiles del mercado, reducir el riesgo a la baja y ser menos vulnerables a las anomalías climáticas actuales, más frecuentes. Los operadores pueden utilizar estas capacidades óptimas de previsión a largo plazo para vender energía en contratos a largo plazo con varios meses de antelación, asegurándose ingresos ya en enero/febrero.</w:t>
      </w:r>
    </w:p>
    <w:p w:rsidR="00000000" w:rsidDel="00000000" w:rsidP="00000000" w:rsidRDefault="00000000" w:rsidRPr="00000000" w14:paraId="00000018">
      <w:pPr>
        <w:spacing w:line="360" w:lineRule="auto"/>
        <w:rPr>
          <w:color w:val="404040"/>
        </w:rPr>
      </w:pPr>
      <w:r w:rsidDel="00000000" w:rsidR="00000000" w:rsidRPr="00000000">
        <w:rPr>
          <w:rtl w:val="0"/>
        </w:rPr>
      </w:r>
    </w:p>
    <w:p w:rsidR="00000000" w:rsidDel="00000000" w:rsidP="00000000" w:rsidRDefault="00000000" w:rsidRPr="00000000" w14:paraId="00000019">
      <w:pPr>
        <w:spacing w:line="360" w:lineRule="auto"/>
        <w:rPr>
          <w:color w:val="404040"/>
        </w:rPr>
      </w:pPr>
      <w:r w:rsidDel="00000000" w:rsidR="00000000" w:rsidRPr="00000000">
        <w:rPr>
          <w:color w:val="404040"/>
          <w:rtl w:val="0"/>
        </w:rPr>
        <w:t xml:space="preserve">Para obtener más información, inscríbase en nuestro próximo </w:t>
      </w:r>
      <w:hyperlink r:id="rId13">
        <w:r w:rsidDel="00000000" w:rsidR="00000000" w:rsidRPr="00000000">
          <w:rPr>
            <w:color w:val="4554f5"/>
            <w:u w:val="single"/>
            <w:rtl w:val="0"/>
          </w:rPr>
          <w:t xml:space="preserve">seminario web</w:t>
        </w:r>
      </w:hyperlink>
      <w:r w:rsidDel="00000000" w:rsidR="00000000" w:rsidRPr="00000000">
        <w:rPr>
          <w:color w:val="404040"/>
          <w:rtl w:val="0"/>
        </w:rPr>
        <w:t xml:space="preserve">, en el que profundizaremos en los aspectos más destacados y las principales conclusiones de este proyecto con nuestro socio integrador Hydrique y nuestro antiguo cliente, Alpiq.</w:t>
      </w:r>
    </w:p>
    <w:p w:rsidR="00000000" w:rsidDel="00000000" w:rsidP="00000000" w:rsidRDefault="00000000" w:rsidRPr="00000000" w14:paraId="0000001A">
      <w:pPr>
        <w:spacing w:line="360" w:lineRule="auto"/>
        <w:rPr>
          <w:color w:val="404040"/>
        </w:rPr>
      </w:pPr>
      <w:r w:rsidDel="00000000" w:rsidR="00000000" w:rsidRPr="00000000">
        <w:rPr>
          <w:rtl w:val="0"/>
        </w:rPr>
      </w:r>
    </w:p>
    <w:p w:rsidR="00000000" w:rsidDel="00000000" w:rsidP="00000000" w:rsidRDefault="00000000" w:rsidRPr="00000000" w14:paraId="0000001B">
      <w:pPr>
        <w:spacing w:line="360" w:lineRule="auto"/>
        <w:rPr>
          <w:color w:val="404040"/>
        </w:rPr>
      </w:pPr>
      <w:r w:rsidDel="00000000" w:rsidR="00000000" w:rsidRPr="00000000">
        <w:rPr>
          <w:color w:val="404040"/>
          <w:rtl w:val="0"/>
        </w:rPr>
        <w:t xml:space="preserve">Para obtener más información sobre nuestros conjuntos de datos, puede interactuar con el </w:t>
      </w:r>
      <w:hyperlink r:id="rId14">
        <w:r w:rsidDel="00000000" w:rsidR="00000000" w:rsidRPr="00000000">
          <w:rPr>
            <w:color w:val="4554f5"/>
            <w:u w:val="single"/>
            <w:rtl w:val="0"/>
          </w:rPr>
          <w:t xml:space="preserve">producto SWE</w:t>
        </w:r>
      </w:hyperlink>
      <w:r w:rsidDel="00000000" w:rsidR="00000000" w:rsidRPr="00000000">
        <w:rPr>
          <w:color w:val="404040"/>
          <w:rtl w:val="0"/>
        </w:rPr>
        <w:t xml:space="preserve"> y probar el conjunto de datos de </w:t>
      </w:r>
      <w:hyperlink r:id="rId15">
        <w:r w:rsidDel="00000000" w:rsidR="00000000" w:rsidRPr="00000000">
          <w:rPr>
            <w:color w:val="4554f5"/>
            <w:u w:val="single"/>
            <w:rtl w:val="0"/>
          </w:rPr>
          <w:t xml:space="preserve">altura de la nieve</w:t>
        </w:r>
      </w:hyperlink>
      <w:r w:rsidDel="00000000" w:rsidR="00000000" w:rsidRPr="00000000">
        <w:rPr>
          <w:color w:val="404040"/>
          <w:rtl w:val="0"/>
        </w:rPr>
        <w:t xml:space="preserve"> validado con datos del SLF, así como descargar nuestros </w:t>
      </w:r>
      <w:hyperlink r:id="rId16">
        <w:r w:rsidDel="00000000" w:rsidR="00000000" w:rsidRPr="00000000">
          <w:rPr>
            <w:color w:val="4554f5"/>
            <w:u w:val="single"/>
            <w:rtl w:val="0"/>
          </w:rPr>
          <w:t xml:space="preserve">informes técnicos</w:t>
        </w:r>
      </w:hyperlink>
      <w:r w:rsidDel="00000000" w:rsidR="00000000" w:rsidRPr="00000000">
        <w:rPr>
          <w:color w:val="404040"/>
          <w:rtl w:val="0"/>
        </w:rPr>
        <w:t xml:space="preserve">. </w:t>
      </w:r>
    </w:p>
    <w:p w:rsidR="00000000" w:rsidDel="00000000" w:rsidP="00000000" w:rsidRDefault="00000000" w:rsidRPr="00000000" w14:paraId="0000001C">
      <w:pPr>
        <w:spacing w:line="360" w:lineRule="auto"/>
        <w:rPr>
          <w:color w:val="404040"/>
        </w:rPr>
      </w:pPr>
      <w:r w:rsidDel="00000000" w:rsidR="00000000" w:rsidRPr="00000000">
        <w:rPr>
          <w:rtl w:val="0"/>
        </w:rPr>
      </w:r>
    </w:p>
    <w:p w:rsidR="00000000" w:rsidDel="00000000" w:rsidP="00000000" w:rsidRDefault="00000000" w:rsidRPr="00000000" w14:paraId="0000001D">
      <w:pPr>
        <w:spacing w:line="360" w:lineRule="auto"/>
        <w:jc w:val="center"/>
        <w:rPr/>
      </w:pPr>
      <w:r w:rsidDel="00000000" w:rsidR="00000000" w:rsidRPr="00000000">
        <w:rPr>
          <w:rtl w:val="0"/>
        </w:rPr>
        <w:t xml:space="preserve">— FINES —</w:t>
      </w:r>
    </w:p>
    <w:p w:rsidR="00000000" w:rsidDel="00000000" w:rsidP="00000000" w:rsidRDefault="00000000" w:rsidRPr="00000000" w14:paraId="0000001E">
      <w:pPr>
        <w:spacing w:line="360" w:lineRule="auto"/>
        <w:rPr>
          <w:b w:val="1"/>
        </w:rPr>
      </w:pPr>
      <w:r w:rsidDel="00000000" w:rsidR="00000000" w:rsidRPr="00000000">
        <w:rPr>
          <w:rtl w:val="0"/>
        </w:rPr>
      </w:r>
    </w:p>
    <w:p w:rsidR="00000000" w:rsidDel="00000000" w:rsidP="00000000" w:rsidRDefault="00000000" w:rsidRPr="00000000" w14:paraId="0000001F">
      <w:pPr>
        <w:spacing w:line="360" w:lineRule="auto"/>
        <w:rPr>
          <w:b w:val="1"/>
          <w:color w:val="081494"/>
          <w:sz w:val="20"/>
          <w:szCs w:val="20"/>
        </w:rPr>
      </w:pPr>
      <w:r w:rsidDel="00000000" w:rsidR="00000000" w:rsidRPr="00000000">
        <w:rPr>
          <w:b w:val="1"/>
          <w:color w:val="081494"/>
          <w:sz w:val="20"/>
          <w:szCs w:val="20"/>
          <w:rtl w:val="0"/>
        </w:rPr>
        <w:t xml:space="preserve">Perfil de la empresa - Wegaw</w:t>
      </w:r>
    </w:p>
    <w:p w:rsidR="00000000" w:rsidDel="00000000" w:rsidP="00000000" w:rsidRDefault="00000000" w:rsidRPr="00000000" w14:paraId="00000020">
      <w:pPr>
        <w:spacing w:line="360" w:lineRule="auto"/>
        <w:rPr>
          <w:color w:val="404040"/>
          <w:sz w:val="16"/>
          <w:szCs w:val="16"/>
        </w:rPr>
      </w:pPr>
      <w:bookmarkStart w:colFirst="0" w:colLast="0" w:name="_heading=h.gjdgxs" w:id="1"/>
      <w:bookmarkEnd w:id="1"/>
      <w:r w:rsidDel="00000000" w:rsidR="00000000" w:rsidRPr="00000000">
        <w:rPr>
          <w:color w:val="404040"/>
          <w:sz w:val="16"/>
          <w:szCs w:val="16"/>
          <w:rtl w:val="0"/>
        </w:rPr>
        <w:t xml:space="preserve">Perfil de la empresa - Wegaw</w:t>
      </w:r>
    </w:p>
    <w:p w:rsidR="00000000" w:rsidDel="00000000" w:rsidP="00000000" w:rsidRDefault="00000000" w:rsidRPr="00000000" w14:paraId="00000021">
      <w:pPr>
        <w:spacing w:line="360" w:lineRule="auto"/>
        <w:rPr>
          <w:color w:val="4554f5"/>
          <w:sz w:val="16"/>
          <w:szCs w:val="16"/>
        </w:rPr>
      </w:pPr>
      <w:bookmarkStart w:colFirst="0" w:colLast="0" w:name="_heading=h.e2d60isc31em" w:id="2"/>
      <w:bookmarkEnd w:id="2"/>
      <w:r w:rsidDel="00000000" w:rsidR="00000000" w:rsidRPr="00000000">
        <w:rPr>
          <w:color w:val="404040"/>
          <w:sz w:val="16"/>
          <w:szCs w:val="16"/>
          <w:rtl w:val="0"/>
        </w:rPr>
        <w:t xml:space="preserve">Con sede en Suiza, Wegaw fusiona datos geoespaciales con IA para crear la solución de tecnología climática subyacente que facilita la transición de los sectores energéticos hacia un futuro resistente al cambio climático. El equipo multinacional de Wegaw tiene experiencia en el CERN, las Naciones Unidas y HP, y sus desarrollos cuentan con el apoyo de la Agencia Espacial Europea y la Oficina Federal Suiza de Energía. En los últimos tres años, Wegaw ha creado una cartera de clientes del sector público e industrial de energías renovables que abarca seis países y más de 30 centrales hidroeléctricas, que se están beneficiando de la mejora de las previsiones de los caudales estacionales para aumentar los precios comerciales e impulsar la producción. Este pionero de la tecnología climática también está desarrollando en la actualidad conocimientos medioambientales aplicables a proyectos solares alpinos y eólicos marinos para ayudar a evaluar los lugares óptimos de instalación, sin necesidad de invertir en infraestructuras. Visite </w:t>
      </w:r>
      <w:hyperlink r:id="rId17">
        <w:r w:rsidDel="00000000" w:rsidR="00000000" w:rsidRPr="00000000">
          <w:rPr>
            <w:color w:val="4554f5"/>
            <w:sz w:val="16"/>
            <w:szCs w:val="16"/>
            <w:u w:val="single"/>
            <w:rtl w:val="0"/>
          </w:rPr>
          <w:t xml:space="preserve">https://wegaw.com</w:t>
        </w:r>
      </w:hyperlink>
      <w:r w:rsidDel="00000000" w:rsidR="00000000" w:rsidRPr="00000000">
        <w:rPr>
          <w:color w:val="4554f5"/>
          <w:sz w:val="16"/>
          <w:szCs w:val="16"/>
          <w:rtl w:val="0"/>
        </w:rPr>
        <w:t xml:space="preserve"> </w:t>
      </w:r>
    </w:p>
    <w:p w:rsidR="00000000" w:rsidDel="00000000" w:rsidP="00000000" w:rsidRDefault="00000000" w:rsidRPr="00000000" w14:paraId="00000022">
      <w:pPr>
        <w:spacing w:line="360" w:lineRule="auto"/>
        <w:rPr>
          <w:color w:val="4554f5"/>
          <w:sz w:val="16"/>
          <w:szCs w:val="16"/>
        </w:rPr>
      </w:pPr>
      <w:bookmarkStart w:colFirst="0" w:colLast="0" w:name="_heading=h.f89fwh1hv5ce" w:id="3"/>
      <w:bookmarkEnd w:id="3"/>
      <w:r w:rsidDel="00000000" w:rsidR="00000000" w:rsidRPr="00000000">
        <w:rPr>
          <w:rtl w:val="0"/>
        </w:rPr>
      </w:r>
    </w:p>
    <w:tbl>
      <w:tblPr>
        <w:tblStyle w:val="Table2"/>
        <w:tblW w:w="10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13.333333333334"/>
        <w:gridCol w:w="3513.333333333334"/>
        <w:gridCol w:w="3513.333333333334"/>
        <w:tblGridChange w:id="0">
          <w:tblGrid>
            <w:gridCol w:w="3513.333333333334"/>
            <w:gridCol w:w="3513.333333333334"/>
            <w:gridCol w:w="3513.333333333334"/>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3">
            <w:pPr>
              <w:spacing w:line="240" w:lineRule="auto"/>
              <w:rPr>
                <w:b w:val="1"/>
                <w:color w:val="081494"/>
                <w:sz w:val="16"/>
                <w:szCs w:val="16"/>
              </w:rPr>
            </w:pPr>
            <w:bookmarkStart w:colFirst="0" w:colLast="0" w:name="_heading=h.3znysh7" w:id="4"/>
            <w:bookmarkEnd w:id="4"/>
            <w:r w:rsidDel="00000000" w:rsidR="00000000" w:rsidRPr="00000000">
              <w:rPr>
                <w:b w:val="1"/>
                <w:color w:val="081494"/>
                <w:sz w:val="16"/>
                <w:szCs w:val="16"/>
                <w:rtl w:val="0"/>
              </w:rPr>
              <w:t xml:space="preserve">Contacto de prensa</w:t>
            </w:r>
          </w:p>
          <w:p w:rsidR="00000000" w:rsidDel="00000000" w:rsidP="00000000" w:rsidRDefault="00000000" w:rsidRPr="00000000" w14:paraId="00000024">
            <w:pPr>
              <w:spacing w:line="240" w:lineRule="auto"/>
              <w:rPr>
                <w:color w:val="404040"/>
                <w:sz w:val="16"/>
                <w:szCs w:val="16"/>
              </w:rPr>
            </w:pPr>
            <w:bookmarkStart w:colFirst="0" w:colLast="0" w:name="_heading=h.ofruzpozqkkp" w:id="5"/>
            <w:bookmarkEnd w:id="5"/>
            <w:hyperlink r:id="rId18">
              <w:r w:rsidDel="00000000" w:rsidR="00000000" w:rsidRPr="00000000">
                <w:rPr>
                  <w:color w:val="4554f5"/>
                  <w:sz w:val="16"/>
                  <w:szCs w:val="16"/>
                  <w:u w:val="single"/>
                  <w:rtl w:val="0"/>
                </w:rPr>
                <w:t xml:space="preserve">Mrs Becky Rowland</w:t>
              </w:r>
            </w:hyperlink>
            <w:r w:rsidDel="00000000" w:rsidR="00000000" w:rsidRPr="00000000">
              <w:rPr>
                <w:rtl w:val="0"/>
              </w:rPr>
            </w:r>
          </w:p>
          <w:p w:rsidR="00000000" w:rsidDel="00000000" w:rsidP="00000000" w:rsidRDefault="00000000" w:rsidRPr="00000000" w14:paraId="00000025">
            <w:pPr>
              <w:spacing w:line="240" w:lineRule="auto"/>
              <w:rPr>
                <w:color w:val="404040"/>
                <w:sz w:val="16"/>
                <w:szCs w:val="16"/>
              </w:rPr>
            </w:pPr>
            <w:bookmarkStart w:colFirst="0" w:colLast="0" w:name="_heading=h.b7ms97sup10j" w:id="6"/>
            <w:bookmarkEnd w:id="6"/>
            <w:r w:rsidDel="00000000" w:rsidR="00000000" w:rsidRPr="00000000">
              <w:rPr>
                <w:color w:val="404040"/>
                <w:sz w:val="16"/>
                <w:szCs w:val="16"/>
                <w:rtl w:val="0"/>
              </w:rPr>
              <w:t xml:space="preserve">Marketing Manager</w:t>
            </w:r>
          </w:p>
          <w:p w:rsidR="00000000" w:rsidDel="00000000" w:rsidP="00000000" w:rsidRDefault="00000000" w:rsidRPr="00000000" w14:paraId="00000026">
            <w:pPr>
              <w:spacing w:line="240" w:lineRule="auto"/>
              <w:rPr>
                <w:color w:val="081494"/>
                <w:sz w:val="16"/>
                <w:szCs w:val="16"/>
              </w:rPr>
            </w:pPr>
            <w:bookmarkStart w:colFirst="0" w:colLast="0" w:name="_heading=h.tyjcwt" w:id="7"/>
            <w:bookmarkEnd w:id="7"/>
            <w:r w:rsidDel="00000000" w:rsidR="00000000" w:rsidRPr="00000000">
              <w:rPr>
                <w:color w:val="404040"/>
                <w:sz w:val="16"/>
                <w:szCs w:val="16"/>
                <w:rtl w:val="0"/>
              </w:rPr>
              <w:t xml:space="preserve">Email: </w:t>
            </w:r>
            <w:hyperlink r:id="rId19">
              <w:r w:rsidDel="00000000" w:rsidR="00000000" w:rsidRPr="00000000">
                <w:rPr>
                  <w:color w:val="4554f5"/>
                  <w:sz w:val="16"/>
                  <w:szCs w:val="16"/>
                  <w:u w:val="single"/>
                  <w:rtl w:val="0"/>
                </w:rPr>
                <w:t xml:space="preserve">becky.rowland@wegaw.com</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7">
            <w:pPr>
              <w:spacing w:line="240" w:lineRule="auto"/>
              <w:rPr>
                <w:b w:val="1"/>
                <w:color w:val="081494"/>
                <w:sz w:val="16"/>
                <w:szCs w:val="16"/>
              </w:rPr>
            </w:pPr>
            <w:r w:rsidDel="00000000" w:rsidR="00000000" w:rsidRPr="00000000">
              <w:rPr>
                <w:b w:val="1"/>
                <w:color w:val="081494"/>
                <w:sz w:val="16"/>
                <w:szCs w:val="16"/>
                <w:rtl w:val="0"/>
              </w:rPr>
              <w:t xml:space="preserve">Consultas comerciales IBERIA &amp; ROW</w:t>
            </w:r>
          </w:p>
          <w:p w:rsidR="00000000" w:rsidDel="00000000" w:rsidP="00000000" w:rsidRDefault="00000000" w:rsidRPr="00000000" w14:paraId="00000028">
            <w:pPr>
              <w:spacing w:line="240" w:lineRule="auto"/>
              <w:rPr>
                <w:color w:val="404040"/>
                <w:sz w:val="16"/>
                <w:szCs w:val="16"/>
              </w:rPr>
            </w:pPr>
            <w:hyperlink r:id="rId20">
              <w:r w:rsidDel="00000000" w:rsidR="00000000" w:rsidRPr="00000000">
                <w:rPr>
                  <w:color w:val="4554f5"/>
                  <w:sz w:val="16"/>
                  <w:szCs w:val="16"/>
                  <w:u w:val="single"/>
                  <w:rtl w:val="0"/>
                </w:rPr>
                <w:t xml:space="preserve">Mr Ion Padilla</w:t>
              </w:r>
            </w:hyperlink>
            <w:r w:rsidDel="00000000" w:rsidR="00000000" w:rsidRPr="00000000">
              <w:rPr>
                <w:rtl w:val="0"/>
              </w:rPr>
            </w:r>
          </w:p>
          <w:p w:rsidR="00000000" w:rsidDel="00000000" w:rsidP="00000000" w:rsidRDefault="00000000" w:rsidRPr="00000000" w14:paraId="00000029">
            <w:pPr>
              <w:spacing w:line="240" w:lineRule="auto"/>
              <w:rPr>
                <w:color w:val="404040"/>
                <w:sz w:val="16"/>
                <w:szCs w:val="16"/>
              </w:rPr>
            </w:pPr>
            <w:r w:rsidDel="00000000" w:rsidR="00000000" w:rsidRPr="00000000">
              <w:rPr>
                <w:color w:val="404040"/>
                <w:sz w:val="16"/>
                <w:szCs w:val="16"/>
                <w:rtl w:val="0"/>
              </w:rPr>
              <w:t xml:space="preserve">CEO &amp; Co-Founder</w:t>
            </w:r>
          </w:p>
          <w:p w:rsidR="00000000" w:rsidDel="00000000" w:rsidP="00000000" w:rsidRDefault="00000000" w:rsidRPr="00000000" w14:paraId="0000002A">
            <w:pPr>
              <w:spacing w:line="240" w:lineRule="auto"/>
              <w:rPr>
                <w:color w:val="081494"/>
                <w:sz w:val="16"/>
                <w:szCs w:val="16"/>
              </w:rPr>
            </w:pPr>
            <w:bookmarkStart w:colFirst="0" w:colLast="0" w:name="_heading=h.2s8eyo1" w:id="8"/>
            <w:bookmarkEnd w:id="8"/>
            <w:r w:rsidDel="00000000" w:rsidR="00000000" w:rsidRPr="00000000">
              <w:rPr>
                <w:color w:val="404040"/>
                <w:sz w:val="16"/>
                <w:szCs w:val="16"/>
                <w:rtl w:val="0"/>
              </w:rPr>
              <w:t xml:space="preserve">Email: </w:t>
            </w:r>
            <w:hyperlink r:id="rId21">
              <w:r w:rsidDel="00000000" w:rsidR="00000000" w:rsidRPr="00000000">
                <w:rPr>
                  <w:color w:val="4554f5"/>
                  <w:sz w:val="16"/>
                  <w:szCs w:val="16"/>
                  <w:u w:val="single"/>
                  <w:rtl w:val="0"/>
                </w:rPr>
                <w:t xml:space="preserve">ion.padilla@wegaw.com</w:t>
              </w:r>
            </w:hyperlink>
            <w:r w:rsidDel="00000000" w:rsidR="00000000" w:rsidRPr="00000000">
              <w:rPr>
                <w:color w:val="4554f5"/>
                <w:sz w:val="16"/>
                <w:szCs w:val="16"/>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B">
            <w:pPr>
              <w:spacing w:line="240" w:lineRule="auto"/>
              <w:rPr>
                <w:b w:val="1"/>
                <w:color w:val="081494"/>
                <w:sz w:val="16"/>
                <w:szCs w:val="16"/>
              </w:rPr>
            </w:pPr>
            <w:r w:rsidDel="00000000" w:rsidR="00000000" w:rsidRPr="00000000">
              <w:rPr>
                <w:b w:val="1"/>
                <w:color w:val="081494"/>
                <w:sz w:val="16"/>
                <w:szCs w:val="16"/>
                <w:rtl w:val="0"/>
              </w:rPr>
              <w:t xml:space="preserve">Consultas comerciales DACH</w:t>
            </w:r>
          </w:p>
          <w:p w:rsidR="00000000" w:rsidDel="00000000" w:rsidP="00000000" w:rsidRDefault="00000000" w:rsidRPr="00000000" w14:paraId="0000002C">
            <w:pPr>
              <w:spacing w:line="240" w:lineRule="auto"/>
              <w:rPr>
                <w:color w:val="4554f5"/>
                <w:sz w:val="16"/>
                <w:szCs w:val="16"/>
              </w:rPr>
            </w:pPr>
            <w:hyperlink r:id="rId22">
              <w:r w:rsidDel="00000000" w:rsidR="00000000" w:rsidRPr="00000000">
                <w:rPr>
                  <w:color w:val="4554f5"/>
                  <w:sz w:val="16"/>
                  <w:szCs w:val="16"/>
                  <w:u w:val="single"/>
                  <w:rtl w:val="0"/>
                </w:rPr>
                <w:t xml:space="preserve">Ms Daria Lüdtke</w:t>
              </w:r>
            </w:hyperlink>
            <w:r w:rsidDel="00000000" w:rsidR="00000000" w:rsidRPr="00000000">
              <w:rPr>
                <w:rtl w:val="0"/>
              </w:rPr>
            </w:r>
          </w:p>
          <w:p w:rsidR="00000000" w:rsidDel="00000000" w:rsidP="00000000" w:rsidRDefault="00000000" w:rsidRPr="00000000" w14:paraId="0000002D">
            <w:pPr>
              <w:spacing w:line="240" w:lineRule="auto"/>
              <w:rPr>
                <w:color w:val="404040"/>
                <w:sz w:val="16"/>
                <w:szCs w:val="16"/>
              </w:rPr>
            </w:pPr>
            <w:r w:rsidDel="00000000" w:rsidR="00000000" w:rsidRPr="00000000">
              <w:rPr>
                <w:color w:val="404040"/>
                <w:sz w:val="16"/>
                <w:szCs w:val="16"/>
                <w:rtl w:val="0"/>
              </w:rPr>
              <w:t xml:space="preserve">CTO &amp; Geospatial Technologist</w:t>
            </w:r>
          </w:p>
          <w:p w:rsidR="00000000" w:rsidDel="00000000" w:rsidP="00000000" w:rsidRDefault="00000000" w:rsidRPr="00000000" w14:paraId="0000002E">
            <w:pPr>
              <w:spacing w:line="240" w:lineRule="auto"/>
              <w:rPr>
                <w:b w:val="1"/>
                <w:color w:val="4554f5"/>
                <w:sz w:val="16"/>
                <w:szCs w:val="16"/>
              </w:rPr>
            </w:pPr>
            <w:r w:rsidDel="00000000" w:rsidR="00000000" w:rsidRPr="00000000">
              <w:rPr>
                <w:color w:val="404040"/>
                <w:sz w:val="16"/>
                <w:szCs w:val="16"/>
                <w:rtl w:val="0"/>
              </w:rPr>
              <w:t xml:space="preserve">Email: </w:t>
            </w:r>
            <w:hyperlink r:id="rId23">
              <w:r w:rsidDel="00000000" w:rsidR="00000000" w:rsidRPr="00000000">
                <w:rPr>
                  <w:color w:val="4554f5"/>
                  <w:sz w:val="16"/>
                  <w:szCs w:val="16"/>
                  <w:u w:val="single"/>
                  <w:rtl w:val="0"/>
                </w:rPr>
                <w:t xml:space="preserve">daria.luedtke@wegaw.com</w:t>
              </w:r>
            </w:hyperlink>
            <w:r w:rsidDel="00000000" w:rsidR="00000000" w:rsidRPr="00000000">
              <w:rPr>
                <w:color w:val="4554f5"/>
                <w:sz w:val="16"/>
                <w:szCs w:val="16"/>
                <w:rtl w:val="0"/>
              </w:rPr>
              <w:t xml:space="preserve"> </w:t>
            </w:r>
            <w:r w:rsidDel="00000000" w:rsidR="00000000" w:rsidRPr="00000000">
              <w:rPr>
                <w:rtl w:val="0"/>
              </w:rPr>
            </w:r>
          </w:p>
        </w:tc>
      </w:tr>
    </w:tbl>
    <w:p w:rsidR="00000000" w:rsidDel="00000000" w:rsidP="00000000" w:rsidRDefault="00000000" w:rsidRPr="00000000" w14:paraId="0000002F">
      <w:pPr>
        <w:spacing w:line="360" w:lineRule="auto"/>
        <w:rPr>
          <w:b w:val="1"/>
          <w:color w:val="081494"/>
          <w:sz w:val="20"/>
          <w:szCs w:val="20"/>
        </w:rPr>
      </w:pPr>
      <w:r w:rsidDel="00000000" w:rsidR="00000000" w:rsidRPr="00000000">
        <w:rPr>
          <w:rtl w:val="0"/>
        </w:rPr>
      </w:r>
    </w:p>
    <w:tbl>
      <w:tblPr>
        <w:tblStyle w:val="Table3"/>
        <w:tblW w:w="10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70"/>
        <w:gridCol w:w="5270"/>
        <w:tblGridChange w:id="0">
          <w:tblGrid>
            <w:gridCol w:w="5270"/>
            <w:gridCol w:w="527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0">
            <w:pPr>
              <w:spacing w:line="360" w:lineRule="auto"/>
              <w:rPr>
                <w:color w:val="404040"/>
                <w:sz w:val="16"/>
                <w:szCs w:val="16"/>
              </w:rPr>
            </w:pPr>
            <w:r w:rsidDel="00000000" w:rsidR="00000000" w:rsidRPr="00000000">
              <w:rPr>
                <w:b w:val="1"/>
                <w:color w:val="081494"/>
                <w:sz w:val="16"/>
                <w:szCs w:val="16"/>
                <w:rtl w:val="0"/>
              </w:rPr>
              <w:t xml:space="preserve">Perfil de la empresa - Hydrique Ingénieurs</w:t>
            </w:r>
            <w:r w:rsidDel="00000000" w:rsidR="00000000" w:rsidRPr="00000000">
              <w:rPr>
                <w:rtl w:val="0"/>
              </w:rPr>
            </w:r>
          </w:p>
          <w:p w:rsidR="00000000" w:rsidDel="00000000" w:rsidP="00000000" w:rsidRDefault="00000000" w:rsidRPr="00000000" w14:paraId="00000031">
            <w:pPr>
              <w:spacing w:line="360" w:lineRule="auto"/>
              <w:rPr>
                <w:b w:val="1"/>
                <w:color w:val="081494"/>
                <w:sz w:val="16"/>
                <w:szCs w:val="16"/>
              </w:rPr>
            </w:pPr>
            <w:bookmarkStart w:colFirst="0" w:colLast="0" w:name="_heading=h.m7y9nengmgz6" w:id="9"/>
            <w:bookmarkEnd w:id="9"/>
            <w:r w:rsidDel="00000000" w:rsidR="00000000" w:rsidRPr="00000000">
              <w:rPr>
                <w:color w:val="404040"/>
                <w:sz w:val="16"/>
                <w:szCs w:val="16"/>
                <w:rtl w:val="0"/>
              </w:rPr>
              <w:t xml:space="preserve">Para más información, visite </w:t>
            </w:r>
            <w:hyperlink r:id="rId24">
              <w:r w:rsidDel="00000000" w:rsidR="00000000" w:rsidRPr="00000000">
                <w:rPr>
                  <w:color w:val="4554f5"/>
                  <w:sz w:val="16"/>
                  <w:szCs w:val="16"/>
                  <w:u w:val="single"/>
                  <w:rtl w:val="0"/>
                </w:rPr>
                <w:t xml:space="preserve">https://www.hydrique.ch/fr/hydrique-ingenieurs</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2">
            <w:pPr>
              <w:spacing w:line="360" w:lineRule="auto"/>
              <w:rPr>
                <w:b w:val="1"/>
                <w:color w:val="081494"/>
                <w:sz w:val="16"/>
                <w:szCs w:val="16"/>
              </w:rPr>
            </w:pPr>
            <w:r w:rsidDel="00000000" w:rsidR="00000000" w:rsidRPr="00000000">
              <w:rPr>
                <w:b w:val="1"/>
                <w:color w:val="081494"/>
                <w:sz w:val="16"/>
                <w:szCs w:val="16"/>
                <w:rtl w:val="0"/>
              </w:rPr>
              <w:t xml:space="preserve">Perfil de la empresa - Oficina Federal Suiza de Energía</w:t>
            </w:r>
          </w:p>
          <w:p w:rsidR="00000000" w:rsidDel="00000000" w:rsidP="00000000" w:rsidRDefault="00000000" w:rsidRPr="00000000" w14:paraId="00000033">
            <w:pPr>
              <w:spacing w:line="360" w:lineRule="auto"/>
              <w:rPr>
                <w:b w:val="1"/>
                <w:color w:val="4554f5"/>
                <w:sz w:val="16"/>
                <w:szCs w:val="16"/>
              </w:rPr>
            </w:pPr>
            <w:r w:rsidDel="00000000" w:rsidR="00000000" w:rsidRPr="00000000">
              <w:rPr>
                <w:color w:val="404040"/>
                <w:sz w:val="16"/>
                <w:szCs w:val="16"/>
                <w:rtl w:val="0"/>
              </w:rPr>
              <w:t xml:space="preserve">Para más información, visite </w:t>
            </w:r>
            <w:hyperlink r:id="rId25">
              <w:r w:rsidDel="00000000" w:rsidR="00000000" w:rsidRPr="00000000">
                <w:rPr>
                  <w:color w:val="4554f5"/>
                  <w:sz w:val="16"/>
                  <w:szCs w:val="16"/>
                  <w:u w:val="single"/>
                  <w:rtl w:val="0"/>
                </w:rPr>
                <w:t xml:space="preserve">https://www.bfe.admin.ch/bfe/en/home/research-and-cleantech/pilot-and-demonstration-programme.html</w:t>
              </w:r>
            </w:hyperlink>
            <w:r w:rsidDel="00000000" w:rsidR="00000000" w:rsidRPr="00000000">
              <w:rPr>
                <w:color w:val="4554f5"/>
                <w:sz w:val="16"/>
                <w:szCs w:val="16"/>
                <w:rtl w:val="0"/>
              </w:rPr>
              <w:t xml:space="preserve"> </w:t>
            </w:r>
            <w:r w:rsidDel="00000000" w:rsidR="00000000" w:rsidRPr="00000000">
              <w:rPr>
                <w:rtl w:val="0"/>
              </w:rPr>
            </w:r>
          </w:p>
        </w:tc>
      </w:tr>
    </w:tbl>
    <w:p w:rsidR="00000000" w:rsidDel="00000000" w:rsidP="00000000" w:rsidRDefault="00000000" w:rsidRPr="00000000" w14:paraId="00000034">
      <w:pPr>
        <w:spacing w:line="360" w:lineRule="auto"/>
        <w:rPr>
          <w:b w:val="1"/>
          <w:color w:val="081494"/>
          <w:sz w:val="18"/>
          <w:szCs w:val="18"/>
        </w:rPr>
      </w:pPr>
      <w:r w:rsidDel="00000000" w:rsidR="00000000" w:rsidRPr="00000000">
        <w:rPr>
          <w:rtl w:val="0"/>
        </w:rPr>
      </w:r>
    </w:p>
    <w:p w:rsidR="00000000" w:rsidDel="00000000" w:rsidP="00000000" w:rsidRDefault="00000000" w:rsidRPr="00000000" w14:paraId="00000035">
      <w:pPr>
        <w:spacing w:line="360" w:lineRule="auto"/>
        <w:ind w:left="0" w:firstLine="0"/>
        <w:rPr>
          <w:b w:val="1"/>
          <w:color w:val="081494"/>
          <w:sz w:val="20"/>
          <w:szCs w:val="20"/>
        </w:rPr>
      </w:pPr>
      <w:r w:rsidDel="00000000" w:rsidR="00000000" w:rsidRPr="00000000">
        <w:rPr>
          <w:rtl w:val="0"/>
        </w:rPr>
      </w:r>
    </w:p>
    <w:sectPr>
      <w:headerReference r:id="rId26" w:type="default"/>
      <w:footerReference r:id="rId27" w:type="default"/>
      <w:pgSz w:h="15840" w:w="12240" w:orient="portrait"/>
      <w:pgMar w:bottom="1133" w:top="850" w:left="850" w:right="8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Sai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i w:val="1"/>
      </w:rPr>
    </w:pPr>
    <w:r w:rsidDel="00000000" w:rsidR="00000000" w:rsidRPr="00000000">
      <w:rPr>
        <w:rFonts w:ascii="Calibri" w:cs="Calibri" w:eastAsia="Calibri" w:hAnsi="Calibri"/>
        <w:b w:val="1"/>
        <w:color w:val="081494"/>
        <w:sz w:val="16"/>
        <w:szCs w:val="16"/>
        <w:rtl w:val="0"/>
      </w:rPr>
      <w:t xml:space="preserve">Comunicado de prensa de Wegaw - Resultados del proyecto hidroeléctrico DeFROST4</w:t>
    </w:r>
    <w:r w:rsidDel="00000000" w:rsidR="00000000" w:rsidRPr="00000000">
      <w:rPr>
        <w:rFonts w:ascii="Calibri" w:cs="Calibri" w:eastAsia="Calibri" w:hAnsi="Calibri"/>
        <w:i w:val="1"/>
        <w:sz w:val="16"/>
        <w:szCs w:val="16"/>
        <w:rtl w:val="0"/>
      </w:rPr>
      <w:tab/>
      <w:tab/>
      <w:tab/>
      <w:tab/>
      <w:tab/>
      <w:t xml:space="preserve">   </w:t>
      <w:tab/>
      <w:t xml:space="preserve">                          </w:t>
    </w:r>
    <w:r w:rsidDel="00000000" w:rsidR="00000000" w:rsidRPr="00000000">
      <w:rPr>
        <w:rFonts w:ascii="Calibri" w:cs="Calibri" w:eastAsia="Calibri" w:hAnsi="Calibri"/>
        <w:i w:val="1"/>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rPr>
        <w:rFonts w:ascii="Saira" w:cs="Saira" w:eastAsia="Saira" w:hAnsi="Saira"/>
        <w:i w:val="1"/>
        <w:color w:val="5a5a5a"/>
        <w:sz w:val="20"/>
        <w:szCs w:val="20"/>
      </w:rPr>
    </w:pPr>
    <w:r w:rsidDel="00000000" w:rsidR="00000000" w:rsidRPr="00000000">
      <w:rPr>
        <w:rFonts w:ascii="Saira" w:cs="Saira" w:eastAsia="Saira" w:hAnsi="Saira"/>
        <w:i w:val="1"/>
        <w:color w:val="5a5a5a"/>
        <w:sz w:val="20"/>
        <w:szCs w:val="20"/>
        <w:rtl w:val="0"/>
      </w:rPr>
      <w:t xml:space="preserve">PARA DIFUSIÓN INMEDIATA - Lunes, 19 de diciembre de 2022, Suiza</w:t>
    </w:r>
    <w:r w:rsidDel="00000000" w:rsidR="00000000" w:rsidRPr="00000000">
      <w:rPr>
        <w:rFonts w:ascii="Saira" w:cs="Saira" w:eastAsia="Saira" w:hAnsi="Saira"/>
        <w:i w:val="1"/>
        <w:color w:val="404040"/>
        <w:sz w:val="20"/>
        <w:szCs w:val="20"/>
        <w:rtl w:val="0"/>
      </w:rPr>
      <w:tab/>
      <w:tab/>
      <w:t xml:space="preserve">                             </w:t>
    </w:r>
    <w:r w:rsidDel="00000000" w:rsidR="00000000" w:rsidRPr="00000000">
      <w:rPr/>
      <w:drawing>
        <wp:inline distB="114300" distT="114300" distL="114300" distR="114300">
          <wp:extent cx="1080000" cy="383023"/>
          <wp:effectExtent b="0" l="0" r="0" t="0"/>
          <wp:docPr id="6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80000" cy="383023"/>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uiPriority w:val="11"/>
    <w:qFormat w:val="1"/>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Intestazione">
    <w:name w:val="header"/>
    <w:basedOn w:val="Normale"/>
    <w:link w:val="IntestazioneCarattere"/>
    <w:uiPriority w:val="99"/>
    <w:unhideWhenUsed w:val="1"/>
    <w:rsid w:val="00BB4D24"/>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BB4D24"/>
  </w:style>
  <w:style w:type="paragraph" w:styleId="Pidipagina">
    <w:name w:val="footer"/>
    <w:basedOn w:val="Normale"/>
    <w:link w:val="PidipaginaCarattere"/>
    <w:uiPriority w:val="99"/>
    <w:unhideWhenUsed w:val="1"/>
    <w:rsid w:val="00BB4D24"/>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BB4D24"/>
  </w:style>
  <w:style w:type="paragraph" w:styleId="Soggettocommento">
    <w:name w:val="annotation subject"/>
    <w:basedOn w:val="Testocommento"/>
    <w:next w:val="Testocommento"/>
    <w:link w:val="SoggettocommentoCarattere"/>
    <w:uiPriority w:val="99"/>
    <w:semiHidden w:val="1"/>
    <w:unhideWhenUsed w:val="1"/>
    <w:rsid w:val="00F45748"/>
    <w:rPr>
      <w:b w:val="1"/>
      <w:bCs w:val="1"/>
    </w:rPr>
  </w:style>
  <w:style w:type="character" w:styleId="SoggettocommentoCarattere" w:customStyle="1">
    <w:name w:val="Soggetto commento Carattere"/>
    <w:basedOn w:val="TestocommentoCarattere"/>
    <w:link w:val="Soggettocommento"/>
    <w:uiPriority w:val="99"/>
    <w:semiHidden w:val="1"/>
    <w:rsid w:val="00F45748"/>
    <w:rPr>
      <w:b w:val="1"/>
      <w:bCs w:val="1"/>
      <w:sz w:val="20"/>
      <w:szCs w:val="20"/>
    </w:rPr>
  </w:style>
  <w:style w:type="paragraph" w:styleId="Revisione">
    <w:name w:val="Revision"/>
    <w:hidden w:val="1"/>
    <w:uiPriority w:val="99"/>
    <w:semiHidden w:val="1"/>
    <w:rsid w:val="00494F99"/>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linkedin.com/in/ion-padilla-5228951b" TargetMode="External"/><Relationship Id="rId22" Type="http://schemas.openxmlformats.org/officeDocument/2006/relationships/hyperlink" Target="https://www.linkedin.com/in/daria-ludtke/" TargetMode="External"/><Relationship Id="rId21" Type="http://schemas.openxmlformats.org/officeDocument/2006/relationships/hyperlink" Target="mailto:ion.padilla@wegaw.com" TargetMode="External"/><Relationship Id="rId24" Type="http://schemas.openxmlformats.org/officeDocument/2006/relationships/hyperlink" Target="https://www.hydrique.ch/fr/hydrique-ingenieurs" TargetMode="External"/><Relationship Id="rId23" Type="http://schemas.openxmlformats.org/officeDocument/2006/relationships/hyperlink" Target="mailto:daria.luedtke@wegaw.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26" Type="http://schemas.openxmlformats.org/officeDocument/2006/relationships/header" Target="header1.xml"/><Relationship Id="rId25" Type="http://schemas.openxmlformats.org/officeDocument/2006/relationships/hyperlink" Target="https://www.bfe.admin.ch/bfe/en/home/research-and-cleantech/pilot-and-demonstration-programme.html" TargetMode="External"/><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egaw.com/snow-height-dataset" TargetMode="External"/><Relationship Id="rId8" Type="http://schemas.openxmlformats.org/officeDocument/2006/relationships/hyperlink" Target="https://wegaw.com/snow-water-equivalent-dataset-assessment" TargetMode="External"/><Relationship Id="rId11" Type="http://schemas.openxmlformats.org/officeDocument/2006/relationships/image" Target="media/image3.jpg"/><Relationship Id="rId10" Type="http://schemas.openxmlformats.org/officeDocument/2006/relationships/image" Target="media/image4.jpg"/><Relationship Id="rId13" Type="http://schemas.openxmlformats.org/officeDocument/2006/relationships/hyperlink" Target="https://wegaw.com/wegaw-webinar-episode-2-optimizing-trading-snow-hydropower/" TargetMode="External"/><Relationship Id="rId12" Type="http://schemas.openxmlformats.org/officeDocument/2006/relationships/image" Target="media/image1.png"/><Relationship Id="rId15" Type="http://schemas.openxmlformats.org/officeDocument/2006/relationships/hyperlink" Target="https://wegaw.com/snow-height-dataset" TargetMode="External"/><Relationship Id="rId14" Type="http://schemas.openxmlformats.org/officeDocument/2006/relationships/hyperlink" Target="https://wegaw.com/snow-water-equivalent-dataset-assessment" TargetMode="External"/><Relationship Id="rId17" Type="http://schemas.openxmlformats.org/officeDocument/2006/relationships/hyperlink" Target="https://wegaw.com" TargetMode="External"/><Relationship Id="rId16" Type="http://schemas.openxmlformats.org/officeDocument/2006/relationships/hyperlink" Target="https://wegaw.com/highlighting-energy-transition-opportunities-interactive-snow-maps/" TargetMode="External"/><Relationship Id="rId19" Type="http://schemas.openxmlformats.org/officeDocument/2006/relationships/hyperlink" Target="mailto:becky.rowland@wegaw.com" TargetMode="External"/><Relationship Id="rId18" Type="http://schemas.openxmlformats.org/officeDocument/2006/relationships/hyperlink" Target="https://www.linkedin.com/in/beckyrowlan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Saira-regular.ttf"/><Relationship Id="rId2" Type="http://schemas.openxmlformats.org/officeDocument/2006/relationships/font" Target="fonts/Saira-bold.ttf"/><Relationship Id="rId3" Type="http://schemas.openxmlformats.org/officeDocument/2006/relationships/font" Target="fonts/Saira-italic.ttf"/><Relationship Id="rId4" Type="http://schemas.openxmlformats.org/officeDocument/2006/relationships/font" Target="fonts/Sair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O+mKeRGLUSudPr+f/BcZGSK/nw==">AMUW2mXLFAwFMm/DtDpmN/UksGM0zzJaNYxO/2EwO87p0+fSQJfrHcR953H6nLpZrLmm2oGH7idc3QjhHRyotQsZrSJEKevwopCsW4N/b+ec7SJrr6K4Van8TWugJLWSOi+KSHy1K9owGE/fIdKlg/t98EMstQ2n0X+IvGgtfMDppZw+jRjxvDZGn7eBZUd/LmAqGYHJ3nbLeCZ1R7yOb3TqaWbx5DZA31vvWM7I/kLqMDYYfoj1PXBLyFftpbd/+KXp2Xxkvw5La+1HIDinlx7PzVmkWvZ07ueH7ZRLgAmANfJCydJc0L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2022-05-02T14:53:00Z</dcterms:created>
  <dc:creator>Natasha Wheatley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2022-04-22T12:14:18Z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3f8ec248-9aae-4ac9-b322-9941228be27d</vt:lpwstr>
  </property>
  <property fmtid="{D5CDD505-2E9C-101B-9397-08002B2CF9AE}" pid="8" name="MSIP_Label_3976fa30-1907-4356-8241-62ea5e1c0256_ContentBits">
    <vt:lpwstr>0</vt:lpwstr>
  </property>
  <property fmtid="{D5CDD505-2E9C-101B-9397-08002B2CF9AE}" pid="9" name="MSIP_Label_797ad33d-ed35-43c0-b526-22bc83c17deb_Enabled">
    <vt:lpwstr>true</vt:lpwstr>
  </property>
  <property fmtid="{D5CDD505-2E9C-101B-9397-08002B2CF9AE}" pid="10" name="MSIP_Label_797ad33d-ed35-43c0-b526-22bc83c17deb_SetDate">
    <vt:lpwstr>2022-05-05T08:28:29Z</vt:lpwstr>
  </property>
  <property fmtid="{D5CDD505-2E9C-101B-9397-08002B2CF9AE}" pid="11" name="MSIP_Label_797ad33d-ed35-43c0-b526-22bc83c17deb_Method">
    <vt:lpwstr>Standard</vt:lpwstr>
  </property>
  <property fmtid="{D5CDD505-2E9C-101B-9397-08002B2CF9AE}" pid="12" name="MSIP_Label_797ad33d-ed35-43c0-b526-22bc83c17deb_Name">
    <vt:lpwstr>797ad33d-ed35-43c0-b526-22bc83c17deb</vt:lpwstr>
  </property>
  <property fmtid="{D5CDD505-2E9C-101B-9397-08002B2CF9AE}" pid="13" name="MSIP_Label_797ad33d-ed35-43c0-b526-22bc83c17deb_SiteId">
    <vt:lpwstr>d539d4bf-5610-471a-afc2-1c76685cfefa</vt:lpwstr>
  </property>
  <property fmtid="{D5CDD505-2E9C-101B-9397-08002B2CF9AE}" pid="14" name="MSIP_Label_797ad33d-ed35-43c0-b526-22bc83c17deb_ActionId">
    <vt:lpwstr>638c955c-b0fa-412f-8ba5-4adcfd041a8f</vt:lpwstr>
  </property>
  <property fmtid="{D5CDD505-2E9C-101B-9397-08002B2CF9AE}" pid="15" name="MSIP_Label_797ad33d-ed35-43c0-b526-22bc83c17deb_ContentBits">
    <vt:lpwstr>1</vt:lpwstr>
  </property>
</Properties>
</file>